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协会</w:t>
      </w:r>
      <w:r>
        <w:rPr>
          <w:rFonts w:hint="eastAsia" w:ascii="黑体" w:hAnsi="黑体" w:eastAsia="黑体"/>
          <w:sz w:val="32"/>
          <w:szCs w:val="32"/>
        </w:rPr>
        <w:t>会员信用评估标准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</w:t>
      </w: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附件1-1：             </w:t>
      </w:r>
      <w:r>
        <w:rPr>
          <w:rFonts w:hint="eastAsia" w:ascii="仿宋" w:hAnsi="仿宋" w:eastAsia="仿宋"/>
          <w:b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  <w:lang w:val="en-US" w:eastAsia="zh-CN"/>
        </w:rPr>
        <w:t>协会</w:t>
      </w:r>
      <w:r>
        <w:rPr>
          <w:rFonts w:hint="eastAsia" w:ascii="仿宋" w:hAnsi="仿宋" w:eastAsia="仿宋"/>
          <w:b/>
          <w:szCs w:val="21"/>
        </w:rPr>
        <w:t>会员基本信息评估标准表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4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评估内容子项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评估标准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会员单位</w:t>
            </w:r>
            <w:r>
              <w:rPr>
                <w:rFonts w:hint="eastAsia" w:ascii="仿宋" w:hAnsi="仿宋" w:eastAsia="仿宋"/>
                <w:szCs w:val="21"/>
              </w:rPr>
              <w:t>资质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0分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会员单位</w:t>
            </w:r>
            <w:r>
              <w:rPr>
                <w:rFonts w:hint="eastAsia" w:ascii="仿宋" w:hAnsi="仿宋" w:eastAsia="仿宋"/>
                <w:szCs w:val="21"/>
              </w:rPr>
              <w:t>各项注册条件满足规定计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团队建设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高级职称人员占员工总数比例达到20%以上的计5分，低于20%的计3分；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高级职称</w:t>
            </w:r>
            <w:r>
              <w:rPr>
                <w:rFonts w:hint="eastAsia" w:ascii="仿宋" w:hAnsi="仿宋" w:eastAsia="仿宋"/>
                <w:szCs w:val="21"/>
              </w:rPr>
              <w:t>人员占员工总数比例达到20%以上的计5分，低于20%的计3分；大学本科以上人员占员工总数比例达到30%以上的计5分，低于30%的计3分。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依法纳税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依法纳税的计15分（每出现一次违规纳税行为的扣5分）。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员工权益保障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员工权益得到保障的计20分；没有全部办理员工“五险一金”的扣5分；员工工资平均水平低于当地市（州）级在职职工平均工资水平的扣5分。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员工教育投入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教育资金投入占公司员工工资总额达到2%以上的计15分，低于2%的计10分。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1、评估内容子项中的指标按评估前近2年内的平均值记取。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2、评估时必须提供相关证明材料，相关证明材料能提供原件的必须提供原件备查或查询网址，不能提供原件或查询网址的要提供扫描件或复印件并加盖单位公章。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3、每项评估内容子项计分不得超过规定的分值。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4、提供与评估有关的财务信息必须是经过审计的财务报表。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附件1-2 ：              </w:t>
      </w:r>
      <w:r>
        <w:rPr>
          <w:rFonts w:hint="eastAsia" w:ascii="仿宋" w:hAnsi="仿宋" w:eastAsia="仿宋"/>
          <w:b/>
          <w:szCs w:val="21"/>
          <w:lang w:val="en-US" w:eastAsia="zh-CN"/>
        </w:rPr>
        <w:t>协会</w:t>
      </w:r>
      <w:r>
        <w:rPr>
          <w:rFonts w:hint="eastAsia" w:ascii="仿宋" w:hAnsi="仿宋" w:eastAsia="仿宋"/>
          <w:b/>
          <w:szCs w:val="21"/>
        </w:rPr>
        <w:t>会员优良信用信息评估标准表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4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评估内容子项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评估标准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0分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每获得一项全国性奖项计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分；每获得一项省（部）级奖项计5分；每获得一项市（州）级奖项计3分；每获得一项县（区）级奖项计1分。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包括政府和行业协会颁发的。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表扬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每获得一项国家级书面表扬计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分；每获得一项省（部）级书面表扬计5分；每获得一项市（州）级书面表扬计3分；每获得一项县（区）级书面表扬计1分。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包括政府和行业协会给予的。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社会贡献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每参加一次抢险救灾、扶贫、捐款等公益性活动的计5分（同一个对象或活动内容的计一次）。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协会活动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积极缴纳会费的计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分，为行业做出贡献的计5分，积极参加协会活动的计5分。所有分支机构参加当地协会活动的计2分。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协会活动：课题研究、标准制定、赛事等。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1、奖项、表扬及其他计分项必须是评估前近2年内获得或开展的活动，奖项、表扬以发文时间为准，活动时间以提供的有效证明为准。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2、每项评估内容子项计分不得超过规定的分值。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3、评估时必须提供相关证明材料，相关证明材料能提供原件的必须提供原件备查或查询网址，不能提供原件或查询网址的要提供扫描件或复印件并加盖单位公章。</w:t>
      </w:r>
    </w:p>
    <w:p>
      <w:pPr>
        <w:ind w:firstLine="420" w:firstLineChars="20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4、获奖中计分是按最高级别计分，有等级之分的每低一个等级的计分按1分标准递减。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附件1-3 ：              </w:t>
      </w:r>
      <w:r>
        <w:rPr>
          <w:rFonts w:hint="eastAsia" w:ascii="仿宋" w:hAnsi="仿宋" w:eastAsia="仿宋"/>
          <w:b/>
          <w:szCs w:val="21"/>
          <w:lang w:val="en-US" w:eastAsia="zh-CN"/>
        </w:rPr>
        <w:t>协会</w:t>
      </w:r>
      <w:r>
        <w:rPr>
          <w:rFonts w:hint="eastAsia" w:ascii="仿宋" w:hAnsi="仿宋" w:eastAsia="仿宋"/>
          <w:b/>
          <w:szCs w:val="21"/>
        </w:rPr>
        <w:t>会员不良信用信息评估标准表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46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评估内容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评估内容子项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评估标准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18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良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息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违规行为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35分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每出现一次资质挂靠行为的扣10分，每一次停业整顿扣10分；每一次严重不良行为记录扣5分；每一次一般不良行为记录扣3分；每一次县级以上书面通报批评扣3分。每发生一项相关信息资料造假扣5分。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行业专业委员会或分会可增加评估项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质量和安全考核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25分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该项根据实际情况由行业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协会</w:t>
            </w:r>
            <w:r>
              <w:rPr>
                <w:rFonts w:hint="eastAsia" w:ascii="仿宋" w:hAnsi="仿宋" w:eastAsia="仿宋"/>
                <w:szCs w:val="21"/>
              </w:rPr>
              <w:t>制定评估规则，按照考核等级制定不同扣分标准。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没有开展考核的扣10分。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黑名单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15分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每一次被省（部）级部门列入黑名单的扣10分、市州级部门的扣5分。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恶性竞争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15分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每出现一次围标、串标、低于成本价竞争行为的扣5分。每出现一次履约不到位的扣1分。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对外地分支机构管理缺失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468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每出现一次企业对外地分支机构的无效管理扣5分，每出现一次被当地建设主管部门或行业协会的处罚、惩戒、通报批评的扣5分。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仿宋" w:hAnsi="仿宋" w:eastAsia="仿宋"/>
          <w:szCs w:val="21"/>
        </w:rPr>
      </w:pP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numPr>
          <w:ilvl w:val="0"/>
          <w:numId w:val="1"/>
        </w:num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扣分项是评估前近2年内发生的，以发文时间为准。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每项评估内容子项扣分不得超过规定的分值。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3、评估时必须如实提供相关不良信息材料，无相关不良信息的提供“无相关不良信用信息承诺书”，并加盖单位行政公章。</w:t>
      </w:r>
    </w:p>
    <w:p>
      <w:pPr>
        <w:ind w:firstLine="42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4、恶性竞争事件由县级以上主管部门或行业协会认定的。</w:t>
      </w:r>
    </w:p>
    <w:p>
      <w:pPr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5、评估对外地分公司管理时必须提供公司管理制度和对应的检查、考核记录等相关证明材料，出现缺失有效管理证明材料或有当地行业主管部门、行业协会、专业分会提供的处罚、惩戒、通报批评时，被认定对外地分支机构管理缺失。</w:t>
      </w: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ind w:firstLine="420"/>
        <w:rPr>
          <w:rFonts w:hint="eastAsia" w:ascii="仿宋" w:hAnsi="仿宋" w:eastAsia="仿宋"/>
          <w:szCs w:val="21"/>
        </w:rPr>
      </w:pPr>
    </w:p>
    <w:p>
      <w:pP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A04DC"/>
    <w:multiLevelType w:val="multilevel"/>
    <w:tmpl w:val="184A04DC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B1B21"/>
    <w:rsid w:val="3A5C4205"/>
    <w:rsid w:val="57A67EE2"/>
    <w:rsid w:val="5DB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2021-10-26T02:52:00Z</dcterms:created>
  <dc:creator>Administrator</dc:creator>
  <cp:lastModifiedBy>Administrator</cp:lastModifiedBy>
  <dcterms:modified xsi:type="dcterms:W3CDTF">2021-11-02T03:20:54Z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6E2181D3703543BEB00F59EC242084BD</vt:lpwstr>
  </property>
</Properties>
</file>